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REPUBLIKA HRVATSKA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OSNOVNA ŠKOLA DONJI LAPAC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Stojana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Matića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18, 53250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Donji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Lapac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007-04/25-02/33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2125-29-25-1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Donji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Lapac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, 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ind w:left="0" w:firstLine="0"/>
        <w:rPr/>
      </w:pPr>
    </w:p>
    <w:p>
      <w:pPr>
        <w:spacing/>
        <w:rPr>
          <w:rStyle w:val="Bez"/>
        </w:rPr>
      </w:pPr>
      <w:r>
        <w:rPr/>
        <w:t xml:space="preserve">Zap</w:t>
      </w:r>
      <w:r>
        <w:rPr/>
        <w:t xml:space="preserve">isnik 6</w:t>
      </w:r>
      <w:r>
        <w:rPr/>
        <w:t xml:space="preserve">. elektronske sjednice Školskog odbora Osnovne škole Donji Lapac održane dana 07.07.2025. elektronskim putem.</w:t>
      </w:r>
    </w:p>
    <w:p>
      <w:pPr>
        <w:pStyle w:val="Tijelo"/>
        <w:spacing/>
        <w:rPr/>
      </w:pPr>
      <w:r>
        <w:rPr>
          <w:rStyle w:val="Bez"/>
          <w:sz w:val="20"/>
          <w:szCs w:val="20"/>
        </w:rPr>
        <w:t xml:space="preserve">Prijedlog dnevnoga reda: </w:t>
      </w:r>
    </w:p>
    <w:p>
      <w:pPr>
        <w:pStyle w:val="ListParagraph"/>
        <w:numPr>
          <w:ilvl w:val="0"/>
          <w:numId w:val="2"/>
        </w:numPr>
        <w:spacing w:after="0"/>
        <w:jc w:val="both"/>
        <w:rPr>
          <w:rStyle w:val="Bez"/>
        </w:rPr>
      </w:pPr>
      <w:r>
        <w:rPr>
          <w:rStyle w:val="Bez"/>
          <w:sz w:val="20"/>
          <w:szCs w:val="20"/>
        </w:rPr>
        <w:t xml:space="preserve">Donošenje Odluke o usvajanju Periodičnog izvršenja Financijskog plana za razdoblje 01.01.2025. – 30.06.2025. godine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  <w:r>
        <w:rPr/>
        <w:t xml:space="preserve">Dana </w:t>
      </w:r>
      <w:r>
        <w:rPr/>
        <w:t xml:space="preserve">1</w:t>
      </w:r>
      <w:r>
        <w:rPr/>
        <w:t xml:space="preserve">6</w:t>
      </w:r>
      <w:r>
        <w:rPr/>
        <w:t xml:space="preserve">. srpnja 2025. godine Predsjednica Školskog odbora Olivera Mazija i tajnik su uputili poziv članovima na elektronsku sjednicu Školskog odobra sa gore navedenim dnevnim redom, te je u pozivu navedeno kako se moli članove Školskog odbora da dostave svoje suglasnosti za donošenje Odluke o usvajanju Plana procjene rizika i Plana sigurnosti Osnovne škole Donji Lapac. Kako je navedeno u poziv članovi su trebali d</w:t>
      </w:r>
      <w:r>
        <w:rPr/>
        <w:t xml:space="preserve">ostaviti svoje suglasnosti do 23</w:t>
      </w:r>
      <w:r>
        <w:rPr/>
        <w:t xml:space="preserve">.07.2025. godine. Do navedeno</w:t>
      </w:r>
      <w:r>
        <w:rPr/>
        <w:t xml:space="preserve">g datuma ukupno je pristiglo četiti</w:t>
      </w:r>
      <w:r>
        <w:rPr/>
        <w:t xml:space="preserve"> suglasnosti članova, a koje su sastavni dio ovoga Zapisnika. 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  <w:r>
        <w:rPr/>
        <w:t xml:space="preserve">ODLUKA: elektronskim glasovanjem usvajaju se </w:t>
      </w:r>
      <w:r>
        <w:rPr/>
        <w:t xml:space="preserve">Periodično izvršenje Financijskog plana za razdoblje 01.01.2025. – 30.06.2025. godine </w:t>
      </w:r>
      <w:r>
        <w:rPr/>
        <w:t xml:space="preserve"> Osnovne škole Donji Lapac sa svim svojim sast</w:t>
      </w:r>
      <w:r>
        <w:rPr/>
        <w:t xml:space="preserve">avnim djelovima onakvi kakav je predočen</w:t>
      </w:r>
      <w:r>
        <w:rPr/>
        <w:t xml:space="preserve"> članovima na usvajanje. Ove Odluke d</w:t>
      </w:r>
      <w:r>
        <w:rPr/>
        <w:t xml:space="preserve">onešene su sa 4 elektronska glaso</w:t>
      </w:r>
      <w:r>
        <w:rPr/>
        <w:t xml:space="preserve">a. 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  <w:r>
        <w:rPr/>
        <w:t xml:space="preserve">Zapisničar: 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Predsjednica Šk.odbora: 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  <w:r>
        <w:rPr/>
        <w:t xml:space="preserve">Zlatko Brnjas 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     Olivera Mazija </w:t>
      </w:r>
    </w:p>
    <w:p>
      <w:pPr>
        <w:spacing/>
        <w:rPr/>
      </w:pPr>
      <w:bookmarkStart w:id="3" w:name="_GoBack"/>
      <w:bookmarkEnd w:id="3"/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 Unicode MS">
    <w:altName w:val="Arial"/>
    <w:charset w:val="0"/>
    <w:family w:val="roman"/>
    <w:pitch w:val="variable"/>
    <w:sig w:usb0="00000003" w:usb1="00000000" w:usb2="00000000" w:usb3="00000000" w:csb0="00000001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6AD2C"/>
    <w:lvl w:ilvl="0">
      <w:start w:val="1"/>
      <w:numFmt w:val="decimal"/>
      <w:suff w:val="tab"/>
      <w:lvlText w:val="%1."/>
      <w:pPr>
        <w:spacing/>
        <w:ind w:left="79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szCs w:val="24"/>
        <w:u w:val="none"/>
        <w:effect w:val="none"/>
        <w:vertAlign w:val="baseline"/>
      </w:rPr>
    </w:lvl>
    <w:lvl w:ilvl="1">
      <w:start w:val="1"/>
      <w:numFmt w:val="lowerLetter"/>
      <w:suff w:val="tab"/>
      <w:lvlText w:val="%2."/>
      <w:pPr>
        <w:spacing/>
        <w:ind w:left="151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suff w:val="tab"/>
      <w:lvlText w:val="%3."/>
      <w:pPr>
        <w:spacing/>
        <w:ind w:left="2220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suff w:val="tab"/>
      <w:lvlText w:val="%4."/>
      <w:pPr>
        <w:spacing/>
        <w:ind w:left="295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suff w:val="tab"/>
      <w:lvlText w:val="%5."/>
      <w:pPr>
        <w:spacing/>
        <w:ind w:left="367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suff w:val="tab"/>
      <w:lvlText w:val="%6."/>
      <w:pPr>
        <w:spacing/>
        <w:ind w:left="4380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6">
      <w:start w:val="1"/>
      <w:numFmt w:val="decimal"/>
      <w:suff w:val="tab"/>
      <w:lvlText w:val="%7."/>
      <w:pPr>
        <w:spacing/>
        <w:ind w:left="511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7">
      <w:start w:val="1"/>
      <w:numFmt w:val="lowerLetter"/>
      <w:suff w:val="tab"/>
      <w:lvlText w:val="%8."/>
      <w:pPr>
        <w:spacing/>
        <w:ind w:left="5832" w:hanging="4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8">
      <w:start w:val="1"/>
      <w:numFmt w:val="lowerRoman"/>
      <w:suff w:val="tab"/>
      <w:lvlText w:val="%9."/>
      <w:pPr>
        <w:spacing/>
        <w:ind w:left="6540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qFormat/>
    <w:pPr>
      <w:spacing w:line="240" w:lineRule="auto"/>
      <w:ind w:left="720"/>
    </w:pPr>
    <w:rPr>
      <w:rFonts w:ascii="Times New Roman" w:hAnsi="Times New Roman" w:eastAsia="Arial Unicode MS" w:cs="Arial Unicode MS"/>
      <w:color w:val="000000"/>
      <w:kern w:val="2"/>
      <w:sz w:val="24"/>
      <w:szCs w:val="24"/>
      <w:lang w:val="it-IT" w:eastAsia="zh-CN" w:bidi="hi-IN"/>
    </w:rPr>
  </w:style>
  <w:style w:type="paragraph" w:styleId="Tijelo" w:customStyle="1">
    <w:name w:val="Tijelo"/>
    <w:qFormat/>
    <w:pPr>
      <w:spacing w:after="0" w:line="240" w:lineRule="auto"/>
    </w:pPr>
    <w:rPr>
      <w:rFonts w:ascii="Times New Roman" w:hAnsi="Times New Roman" w:eastAsia="Arial Unicode MS" w:cs="Arial Unicode MS"/>
      <w14:textOutline xmlns:w14="http://schemas.microsoft.com/office/word/2010/wordml" w14:w="0" w14:cap="flat" w14:cmpd="sng" w14:algn="ctr">
        <w14:noFill/>
        <w14:prstDash w14:val="solid"/>
        <w14:bevel/>
      </w14:textOutline>
      <w:color w:val="000000"/>
      <w:kern w:val="2"/>
      <w:sz w:val="24"/>
      <w:szCs w:val="24"/>
      <w:lang w:eastAsia="zh-CN" w:bidi="hi-IN"/>
    </w:rPr>
  </w:style>
  <w:style w:type="character" w:styleId="Bez" w:customStyle="1">
    <w:name w:val="Bez"/>
    <w:basedOn w:val="DefaultParagraphFont"/>
    <w:qFormat/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358</Words>
  <Characters>2047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2025-08-20T08:09:00Z</dcterms:created>
  <dcterms:modified xsi:type="dcterms:W3CDTF">2025-08-20T08:24:00Z</dcterms:modified>
</cp:coreProperties>
</file>